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ТИПОВОЕ КОНКУРСНОЕ ЗАДАНИЕ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ДЛЯ РЕГИОНАЛЬНОГО ЧЕМПИОНАТА %РЕГИОН_NAME% 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чемпионатного цикла 2021-2022 гг.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компетенции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c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8"/>
          <w:szCs w:val="28"/>
          <w:rtl w:val="0"/>
        </w:rPr>
        <w:t xml:space="preserve">«СЕТЕВОЕ И СИСТЕМНОЕ АДМИНИСТРИРОВАНИЕ»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для основной возрастной категории 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16-22 года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Конкурсное задание включает в себя следующие разделы:</w:t>
      </w:r>
    </w:p>
    <w:p w:rsidR="00000000" w:rsidDel="00000000" w:rsidP="00000000" w:rsidRDefault="00000000" w:rsidRPr="00000000" w14:paraId="0000000F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10053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_heading=h.gjdgxs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Форма участия в конкурсе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10053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hyperlink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_heading=h.30j0zll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Общее время на выполнение задания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10053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hyperlink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_heading=h.1fob9te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Задание для конкурса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10053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_heading=h.3znysh7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Модули задания и необходимое время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10053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_heading=h.3dy6vkm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Критерии оценки.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spacing w:after="0"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-29209</wp:posOffset>
            </wp:positionH>
            <wp:positionV relativeFrom="margin">
              <wp:posOffset>4652010</wp:posOffset>
            </wp:positionV>
            <wp:extent cx="7575905" cy="6065822"/>
            <wp:effectExtent b="0" l="0" r="0" t="0"/>
            <wp:wrapNone/>
            <wp:docPr descr="C:\Users\A.Platko\AppData\Local\Microsoft\Windows\INetCache\Content.Word\техописание1.jpg" id="18" name="image3.jpg"/>
            <a:graphic>
              <a:graphicData uri="http://schemas.openxmlformats.org/drawingml/2006/picture">
                <pic:pic>
                  <pic:nvPicPr>
                    <pic:cNvPr descr="C:\Users\A.Platko\AppData\Local\Microsoft\Windows\INetCache\Content.Word\техописание1.jpg" id="0" name="image3.jpg"/>
                    <pic:cNvPicPr preferRelativeResize="0"/>
                  </pic:nvPicPr>
                  <pic:blipFill>
                    <a:blip r:embed="rId7"/>
                    <a:srcRect b="0" l="0" r="0"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Форма участия в конкурсе: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Индивидуальный конкурс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Общее время на выполнение задания: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15 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Задание для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Конкурсное задание состоит из трех независимых модулей, которые участники выполняют последовательно в конкурсные дни C1, C2 и С3.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Каждый модуль оценивается в день его проведения с использованием автоматизированных средств проверки. Инфраструктурные детали реализации конкурсного задания являются секретными до момента начала выполнения задания.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Модули задания и необходимое время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7245"/>
        </w:tabs>
        <w:spacing w:after="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1.</w:t>
      </w:r>
    </w:p>
    <w:tbl>
      <w:tblPr>
        <w:tblStyle w:val="Table1"/>
        <w:tblW w:w="100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8"/>
        <w:gridCol w:w="5197"/>
        <w:gridCol w:w="2268"/>
        <w:gridCol w:w="2260"/>
        <w:tblGridChange w:id="0">
          <w:tblGrid>
            <w:gridCol w:w="328"/>
            <w:gridCol w:w="5197"/>
            <w:gridCol w:w="2268"/>
            <w:gridCol w:w="226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4f81bd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Наименование модуля</w:t>
            </w:r>
          </w:p>
        </w:tc>
        <w:tc>
          <w:tcPr>
            <w:shd w:fill="4f81bd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Соревновательный день (С1, С2, С3)</w:t>
            </w:r>
          </w:p>
        </w:tc>
        <w:tc>
          <w:tcPr>
            <w:shd w:fill="4f81bd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Время на задание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ind w:hanging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А: «Пуско-наладка информационной инфраструктуры»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ч</w:t>
            </w:r>
          </w:p>
        </w:tc>
      </w:tr>
      <w:tr>
        <w:trPr>
          <w:cantSplit w:val="0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ind w:hanging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B: «Аудит состояния инфраструктуры и устранение неисправностей»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ч</w:t>
            </w:r>
          </w:p>
        </w:tc>
      </w:tr>
      <w:tr>
        <w:trPr>
          <w:cantSplit w:val="0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ind w:hanging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С: «Автоматизация развертывания приложения»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ч</w:t>
            </w:r>
          </w:p>
        </w:tc>
      </w:tr>
    </w:tbl>
    <w:p w:rsidR="00000000" w:rsidDel="00000000" w:rsidP="00000000" w:rsidRDefault="00000000" w:rsidRPr="00000000" w14:paraId="0000002F">
      <w:pPr>
        <w:spacing w:after="0" w:befor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rPr>
          <w:rFonts w:ascii="Times New Roman" w:cs="Times New Roman" w:eastAsia="Times New Roman" w:hAnsi="Times New Roman"/>
          <w:b w:val="1"/>
          <w:color w:val="366091"/>
          <w:sz w:val="24"/>
          <w:szCs w:val="24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366091"/>
          <w:sz w:val="24"/>
          <w:szCs w:val="24"/>
          <w:rtl w:val="0"/>
        </w:rPr>
        <w:t xml:space="preserve">Описание конкурсного задания</w:t>
      </w:r>
    </w:p>
    <w:p w:rsidR="00000000" w:rsidDel="00000000" w:rsidP="00000000" w:rsidRDefault="00000000" w:rsidRPr="00000000" w14:paraId="00000031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Компания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SkillsCloud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 является лидером на рынке разработки прикладных программных интерфейсов для анализа данных автоматизированных систем управления технологическими процессами. В 2021 году, с целью снижения капитальных затрат на содержание собственной информационной инфраструктуры, компания реализовывает пилотный проект по переходу на модель «инфраструктура как сервис» (IaaS) и тестирует размещение своих программных продуктов на инфраструктуре публичного облака Microsoft Azure, а также проводит отбор кандидатов для дальнейшей работы над данным проектом.</w:t>
      </w:r>
    </w:p>
    <w:p w:rsidR="00000000" w:rsidDel="00000000" w:rsidP="00000000" w:rsidRDefault="00000000" w:rsidRPr="00000000" w14:paraId="00000032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рамках практических испытаний, кандидатам будет предложено обеспечить отказоустойчивой инфраструктуры для функционирования специализированного веб-приложения в нескольких регионах присутствия основного заказчика. </w:t>
      </w:r>
    </w:p>
    <w:p w:rsidR="00000000" w:rsidDel="00000000" w:rsidP="00000000" w:rsidRDefault="00000000" w:rsidRPr="00000000" w14:paraId="00000033">
      <w:pPr>
        <w:widowControl w:val="0"/>
        <w:rPr>
          <w:rFonts w:ascii="Times New Roman" w:cs="Times New Roman" w:eastAsia="Times New Roman" w:hAnsi="Times New Roman"/>
          <w:b w:val="1"/>
          <w:color w:val="36609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66091"/>
          <w:sz w:val="24"/>
          <w:szCs w:val="24"/>
          <w:rtl w:val="0"/>
        </w:rPr>
        <w:t xml:space="preserve">Техническое задание</w:t>
      </w:r>
    </w:p>
    <w:p w:rsidR="00000000" w:rsidDel="00000000" w:rsidP="00000000" w:rsidRDefault="00000000" w:rsidRPr="00000000" w14:paraId="00000034">
      <w:pPr>
        <w:widowControl w:val="0"/>
        <w:rPr>
          <w:rFonts w:ascii="Times New Roman" w:cs="Times New Roman" w:eastAsia="Times New Roman" w:hAnsi="Times New Roman"/>
          <w:color w:val="36609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6091"/>
          <w:sz w:val="24"/>
          <w:szCs w:val="24"/>
          <w:rtl w:val="0"/>
        </w:rPr>
        <w:t xml:space="preserve">Общие требования: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точки зрения внешних систем, данное веб-приложение должно быть доступно через единую точку входа —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https://app.prefix.az.skillscloud.company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(где prefix — индивидуальный идентификатор кандидата).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выходе из строя одного (или нескольких) экземпляров приложения (в том числе, при отказе одного или нескольких регионов или зон доступности), простой времени доступа к приложению не должен превышать 10 секунд;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входящие запросы к приложению из глобальной сети должны приниматься только с применением защищенных протоколов уровня приложения</w:t>
      </w:r>
    </w:p>
    <w:p w:rsidR="00000000" w:rsidDel="00000000" w:rsidP="00000000" w:rsidRDefault="00000000" w:rsidRPr="00000000" w14:paraId="00000038">
      <w:pPr>
        <w:widowControl w:val="0"/>
        <w:rPr>
          <w:rFonts w:ascii="Times New Roman" w:cs="Times New Roman" w:eastAsia="Times New Roman" w:hAnsi="Times New Roman"/>
          <w:color w:val="36609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6091"/>
          <w:sz w:val="24"/>
          <w:szCs w:val="24"/>
          <w:rtl w:val="0"/>
        </w:rPr>
        <w:t xml:space="preserve">Пограничные платформы управления трафиком должны: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обеспечивать полный доступ в глобальную сеть интернет для соответствующей региональной частной подсети;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обеспечивать доступ к соответствующему региональному экземпляру веб-приложения для любых внешних систем;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обеспечивать полную сетевую связность между региональными частными подсетями</w:t>
      </w:r>
    </w:p>
    <w:p w:rsidR="00000000" w:rsidDel="00000000" w:rsidP="00000000" w:rsidRDefault="00000000" w:rsidRPr="00000000" w14:paraId="0000003C">
      <w:pPr>
        <w:widowControl w:val="0"/>
        <w:rPr>
          <w:rFonts w:ascii="Times New Roman" w:cs="Times New Roman" w:eastAsia="Times New Roman" w:hAnsi="Times New Roman"/>
          <w:color w:val="36609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6091"/>
          <w:sz w:val="24"/>
          <w:szCs w:val="24"/>
          <w:rtl w:val="0"/>
        </w:rPr>
        <w:t xml:space="preserve">Платформы для размещения приложения должны: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обеспечивать работу приложения и всех его функциональных зависимостей (описанных в документации к приложению);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перенаправлять входящие запросы по незащищенному протоколу прикладного уровня на адрес основной точки входа;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распределять входящие запросы между остальными региональными экземплярами приложения в случае, если локальный экземпляр приложения неисправен (возвращает HTTP код 5XX);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реализовывать необходимые механизмы для автоматического перезапуска локального экземпляра приложения, в случае его отказа.</w:t>
      </w:r>
    </w:p>
    <w:p w:rsidR="00000000" w:rsidDel="00000000" w:rsidP="00000000" w:rsidRDefault="00000000" w:rsidRPr="00000000" w14:paraId="00000041">
      <w:pPr>
        <w:widowControl w:val="0"/>
        <w:rPr>
          <w:rFonts w:ascii="Times New Roman" w:cs="Times New Roman" w:eastAsia="Times New Roman" w:hAnsi="Times New Roman"/>
          <w:b w:val="1"/>
          <w:color w:val="36609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66091"/>
          <w:sz w:val="24"/>
          <w:szCs w:val="24"/>
          <w:rtl w:val="0"/>
        </w:rPr>
        <w:t xml:space="preserve">Сценарии реализации</w:t>
      </w:r>
    </w:p>
    <w:p w:rsidR="00000000" w:rsidDel="00000000" w:rsidP="00000000" w:rsidRDefault="00000000" w:rsidRPr="00000000" w14:paraId="00000042">
      <w:pPr>
        <w:widowControl w:val="0"/>
        <w:rPr>
          <w:rFonts w:ascii="Times New Roman" w:cs="Times New Roman" w:eastAsia="Times New Roman" w:hAnsi="Times New Roman"/>
          <w:color w:val="36609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6091"/>
          <w:sz w:val="24"/>
          <w:szCs w:val="24"/>
          <w:rtl w:val="0"/>
        </w:rPr>
        <w:t xml:space="preserve">Сценарий 1: «Пуско-наладка информационной инфраструктуры»</w:t>
      </w:r>
    </w:p>
    <w:p w:rsidR="00000000" w:rsidDel="00000000" w:rsidP="00000000" w:rsidRDefault="00000000" w:rsidRPr="00000000" w14:paraId="00000043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данном базовом сценарии кандидаты получают доступ к порталу управления облачной инфраструктурой Microsoft Azure, где в соответствующих регионах, в рамках изолированной группы ресурсов, созданы все необходимые базовые элементы — подсети, сетевые интерфейсы, DNS-зоны, Bastion-хосты, а также виртуальные машины: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границе глобальной и приватной сети каждого региона развернута специализированная виртуальная платформа для управления сетевым трафиком;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приватной сети каждого региона — виртуальная платформа для размещения приложения.</w:t>
      </w:r>
    </w:p>
    <w:p w:rsidR="00000000" w:rsidDel="00000000" w:rsidP="00000000" w:rsidRDefault="00000000" w:rsidRPr="00000000" w14:paraId="00000046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Располагая данными ресурсами, кандидатам необходимо привести состояние инфраструктуры в полное соответствие с техническим заданием.</w:t>
      </w:r>
    </w:p>
    <w:p w:rsidR="00000000" w:rsidDel="00000000" w:rsidP="00000000" w:rsidRDefault="00000000" w:rsidRPr="00000000" w14:paraId="00000047">
      <w:pPr>
        <w:widowControl w:val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Спецификация оценки сценария</w:t>
      </w:r>
    </w:p>
    <w:p w:rsidR="00000000" w:rsidDel="00000000" w:rsidP="00000000" w:rsidRDefault="00000000" w:rsidRPr="00000000" w14:paraId="00000048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рамках данного сценария оцениваются навыки самостоятельного выбора программных компонентов для реализации решения в соответствии с техническим заданием, обеспечивающих работу системы в следующих состояниях:</w:t>
      </w:r>
    </w:p>
    <w:p w:rsidR="00000000" w:rsidDel="00000000" w:rsidP="00000000" w:rsidRDefault="00000000" w:rsidRPr="00000000" w14:paraId="00000049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Штатное состояние инфраструктуры — базовые проверки на выполнение условий доступности, в том числе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Обеспечение доступа к внешним системам (8%)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Межрегиональная связность (17%)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Доступность веб приложения (22%)</w:t>
      </w:r>
    </w:p>
    <w:p w:rsidR="00000000" w:rsidDel="00000000" w:rsidP="00000000" w:rsidRDefault="00000000" w:rsidRPr="00000000" w14:paraId="0000004D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Аварийное состояние инфраструктуры — проверки выполнения условий доступности в случаях нарушения работы избыточных компонентов, в том числе: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Отказоустойчивость межрегиональной сети (20%)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Отказоустойчивость веб приложения (33%)</w:t>
      </w:r>
    </w:p>
    <w:p w:rsidR="00000000" w:rsidDel="00000000" w:rsidP="00000000" w:rsidRDefault="00000000" w:rsidRPr="00000000" w14:paraId="00000050">
      <w:pPr>
        <w:widowControl w:val="0"/>
        <w:rPr>
          <w:rFonts w:ascii="Times New Roman" w:cs="Times New Roman" w:eastAsia="Times New Roman" w:hAnsi="Times New Roman"/>
          <w:color w:val="36609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6091"/>
          <w:sz w:val="24"/>
          <w:szCs w:val="24"/>
          <w:rtl w:val="0"/>
        </w:rPr>
        <w:t xml:space="preserve">Сценарий 2: «Аудит состояния инфраструктуры и устранение неисправностей»</w:t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данном сценарии кандидаты получают доступ к изолированной группе ресурсов, которая содержит преднастроенный экземпляр инфраструктуры, реализованной с учётом требований технического задания.  </w:t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рамках данной инфраструктуры, используя имеющиеся инструменты аудита, кандидатам необходимо провести аудит текущего состояния инфраструктуры, а также привести состояние инфраструктуры в полное соответствие с техническим заданием путём устранения найденных неисправностей.</w:t>
      </w:r>
    </w:p>
    <w:p w:rsidR="00000000" w:rsidDel="00000000" w:rsidP="00000000" w:rsidRDefault="00000000" w:rsidRPr="00000000" w14:paraId="00000053">
      <w:pPr>
        <w:widowControl w:val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Спецификация оценки сценария</w:t>
      </w:r>
    </w:p>
    <w:p w:rsidR="00000000" w:rsidDel="00000000" w:rsidP="00000000" w:rsidRDefault="00000000" w:rsidRPr="00000000" w14:paraId="00000054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рамках данного сценария оцениваются навыки работы со штатными средствами аудита операционных систем, а также навыки работы с уже внедренными программными компонентами для реализации решения в соответствии с техническим заданием. Оценка производится по следующим доменам:</w:t>
      </w:r>
    </w:p>
    <w:p w:rsidR="00000000" w:rsidDel="00000000" w:rsidP="00000000" w:rsidRDefault="00000000" w:rsidRPr="00000000" w14:paraId="00000055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 состояния инфраструктуры — проверки результатов аудита, в том числе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Аудит платформ управления трафиком (20%)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Аудит платформ для размещения приложения (13%)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Аудит приложения и его основных зависимостей (16%)</w:t>
      </w:r>
    </w:p>
    <w:p w:rsidR="00000000" w:rsidDel="00000000" w:rsidP="00000000" w:rsidRDefault="00000000" w:rsidRPr="00000000" w14:paraId="00000059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Устранение неисправностей — проверки выполнения условий доступности в случаях нарушения работы избыточных компонентов, в том числе: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Отказоустойчивость межрегиональной сети (15%)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Отказоустойчивость веб приложения (35%)</w:t>
      </w:r>
    </w:p>
    <w:p w:rsidR="00000000" w:rsidDel="00000000" w:rsidP="00000000" w:rsidRDefault="00000000" w:rsidRPr="00000000" w14:paraId="0000005C">
      <w:pPr>
        <w:widowControl w:val="0"/>
        <w:rPr>
          <w:rFonts w:ascii="Times New Roman" w:cs="Times New Roman" w:eastAsia="Times New Roman" w:hAnsi="Times New Roman"/>
          <w:color w:val="36609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6091"/>
          <w:sz w:val="24"/>
          <w:szCs w:val="24"/>
          <w:rtl w:val="0"/>
        </w:rPr>
        <w:t xml:space="preserve">Сценарий 3: «Автоматизация развертывания приложения и базового аудита»</w:t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данном сценарии кандидаты получают доступ к базовому репозиторию, а также описание входных и выходных данных. На основе данной информации кандидатам необходимо решить задачу автоматизации развертывания приложения и всех его основных компонентов, а также предусмотреть автоматический сбор базовой информации о платформах, на которых размещается приложение. </w:t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тестирования своего решения кандидатам предоставляется доступ к изолированной группе ресурсов, которая содержит базовые экземпляры платформ для размещения приложения. Данный сценарий не предусматривает работу взаимодействие программное взаимодействие с платформами управления трафиком — предполагается, что данные платформы настроены и работают, таким образом являются “прозрачными” для кандидатов.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выполнения задания по данному сценарию кандидатам необходимо зарегистрировать свой репозиторий кода, который содержит все необходимые элементы для развертывания приложения в соответствии с техническим заданием.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Спецификация оценки сценария</w:t>
      </w:r>
    </w:p>
    <w:p w:rsidR="00000000" w:rsidDel="00000000" w:rsidP="00000000" w:rsidRDefault="00000000" w:rsidRPr="00000000" w14:paraId="0000006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рамках данного сценария оцениваются навыки работы с инструментами автоматизации и управления конфигурациями для реализации идемпотентного поведения конвейера автоматизации развертывания приложения в соответствии с техническим заданием. Оценка производится по следующим доменам: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Доступность веб приложения (27%)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Отказоустойчивость веб приложения (21%)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Аудит платформ для размещения приложения (51%)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Критерии оценки.</w:t>
      </w:r>
    </w:p>
    <w:p w:rsidR="00000000" w:rsidDel="00000000" w:rsidP="00000000" w:rsidRDefault="00000000" w:rsidRPr="00000000" w14:paraId="00000067">
      <w:pPr>
        <w:spacing w:after="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2.</w:t>
      </w:r>
    </w:p>
    <w:tbl>
      <w:tblPr>
        <w:tblStyle w:val="Table2"/>
        <w:tblW w:w="1005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6"/>
        <w:gridCol w:w="5014"/>
        <w:gridCol w:w="1335"/>
        <w:gridCol w:w="1801"/>
        <w:gridCol w:w="1387"/>
        <w:tblGridChange w:id="0">
          <w:tblGrid>
            <w:gridCol w:w="516"/>
            <w:gridCol w:w="5014"/>
            <w:gridCol w:w="1335"/>
            <w:gridCol w:w="1801"/>
            <w:gridCol w:w="1387"/>
          </w:tblGrid>
        </w:tblGridChange>
      </w:tblGrid>
      <w:tr>
        <w:trPr>
          <w:cantSplit w:val="0"/>
          <w:tblHeader w:val="0"/>
        </w:trPr>
        <w:tc>
          <w:tcPr>
            <w:gridSpan w:val="2"/>
            <w:vMerge w:val="restart"/>
            <w:shd w:fill="4f81bd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Критерий</w:t>
            </w:r>
          </w:p>
        </w:tc>
        <w:tc>
          <w:tcPr>
            <w:gridSpan w:val="3"/>
            <w:shd w:fill="4f81bd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Баллы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shd w:fill="4f81bd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Судейские аспекты</w:t>
            </w:r>
          </w:p>
        </w:tc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Объективная оценка</w:t>
            </w:r>
          </w:p>
        </w:tc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Общая оценка</w:t>
            </w:r>
          </w:p>
        </w:tc>
      </w:tr>
      <w:tr>
        <w:trPr>
          <w:cantSplit w:val="0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Пуско-наладка информационной инфраструктуры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</w:t>
            </w:r>
          </w:p>
        </w:tc>
      </w:tr>
      <w:tr>
        <w:trPr>
          <w:cantSplit w:val="0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Аудит состояния инфраструктуры и устранение неисправностей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Автоматизация развертывания приложения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4f81bd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Итого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86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*данное разбиение по баллам является ознакомительным и может быть пересмотрено разработчиками конкурсного задания</w:t>
      </w:r>
    </w:p>
    <w:p w:rsidR="00000000" w:rsidDel="00000000" w:rsidP="00000000" w:rsidRDefault="00000000" w:rsidRPr="00000000" w14:paraId="00000087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pgSz w:h="16838" w:w="11906" w:orient="portrait"/>
      <w:pgMar w:bottom="1134" w:top="536" w:left="1134" w:right="709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063.0" w:type="dxa"/>
      <w:jc w:val="center"/>
      <w:tblLayout w:type="fixed"/>
      <w:tblLook w:val="0400"/>
    </w:tblPr>
    <w:tblGrid>
      <w:gridCol w:w="6379"/>
      <w:gridCol w:w="3684"/>
      <w:tblGridChange w:id="0">
        <w:tblGrid>
          <w:gridCol w:w="6379"/>
          <w:gridCol w:w="3684"/>
        </w:tblGrid>
      </w:tblGridChange>
    </w:tblGrid>
    <w:tr>
      <w:trPr>
        <w:cantSplit w:val="0"/>
        <w:trHeight w:val="115" w:hRule="atLeast"/>
        <w:tblHeader w:val="0"/>
      </w:trPr>
      <w:tc>
        <w:tcPr>
          <w:shd w:fill="c00000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8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c00000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8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8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Copyright © NSALAB 2021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8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4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72"/>
        <w:szCs w:val="7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4635500</wp:posOffset>
          </wp:positionH>
          <wp:positionV relativeFrom="margin">
            <wp:posOffset>-584199</wp:posOffset>
          </wp:positionV>
          <wp:extent cx="1905000" cy="1394460"/>
          <wp:effectExtent b="0" l="0" r="0" t="0"/>
          <wp:wrapSquare wrapText="bothSides" distB="0" distT="0" distL="114300" distR="114300"/>
          <wp:docPr descr="C:\Users\A.Platko\AppData\Local\Microsoft\Windows\INetCache\Content.Word\lands(red).png" id="19" name="image1.png"/>
          <a:graphic>
            <a:graphicData uri="http://schemas.openxmlformats.org/drawingml/2006/picture">
              <pic:pic>
                <pic:nvPicPr>
                  <pic:cNvPr descr="C:\Users\A.Platko\AppData\Local\Microsoft\Windows\INetCache\Content.Word\lands(red).png" id="0" name="image1.png"/>
                  <pic:cNvPicPr preferRelativeResize="0"/>
                </pic:nvPicPr>
                <pic:blipFill>
                  <a:blip r:embed="rId1"/>
                  <a:srcRect b="0" l="0" r="36238" t="0"/>
                  <a:stretch>
                    <a:fillRect/>
                  </a:stretch>
                </pic:blipFill>
                <pic:spPr>
                  <a:xfrm>
                    <a:off x="0" y="0"/>
                    <a:ext cx="1905000" cy="13944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5775960</wp:posOffset>
          </wp:positionH>
          <wp:positionV relativeFrom="paragraph">
            <wp:posOffset>-97789</wp:posOffset>
          </wp:positionV>
          <wp:extent cx="952500" cy="687070"/>
          <wp:effectExtent b="0" l="0" r="0" t="0"/>
          <wp:wrapTopAndBottom distB="0" distT="0"/>
          <wp:docPr id="2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35286" t="0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120" w:before="240" w:line="240" w:lineRule="auto"/>
    </w:pPr>
    <w:rPr>
      <w:rFonts w:ascii="Arial" w:cs="Arial" w:eastAsia="Arial" w:hAnsi="Arial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sz w:val="56"/>
      <w:szCs w:val="56"/>
    </w:rPr>
  </w:style>
  <w:style w:type="paragraph" w:styleId="a" w:default="1">
    <w:name w:val="Normal"/>
    <w:qFormat w:val="1"/>
    <w:rsid w:val="00FB116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 w:val="1"/>
    <w:rsid w:val="000A1DA8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2">
    <w:name w:val="heading 2"/>
    <w:basedOn w:val="a"/>
    <w:next w:val="a"/>
    <w:link w:val="20"/>
    <w:qFormat w:val="1"/>
    <w:rsid w:val="00BF6513"/>
    <w:pPr>
      <w:keepNext w:val="1"/>
      <w:spacing w:after="120" w:before="240" w:line="240" w:lineRule="auto"/>
      <w:outlineLvl w:val="1"/>
    </w:pPr>
    <w:rPr>
      <w:rFonts w:ascii="Arial" w:hAnsi="Arial"/>
      <w:b w:val="1"/>
      <w:i w:val="1"/>
      <w:szCs w:val="24"/>
      <w:lang w:eastAsia="en-US" w:val="en-GB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 w:customStyle="1">
    <w:name w:val="Базовый"/>
    <w:rsid w:val="00DF16BA"/>
    <w:pPr>
      <w:widowControl w:val="0"/>
      <w:suppressAutoHyphens w:val="1"/>
      <w:spacing w:after="200" w:line="276" w:lineRule="auto"/>
    </w:pPr>
    <w:rPr>
      <w:rFonts w:ascii="Liberation Serif" w:cs="Lohit Hindi" w:hAnsi="Liberation Serif"/>
      <w:sz w:val="24"/>
      <w:szCs w:val="24"/>
      <w:lang w:bidi="hi-IN" w:eastAsia="zh-CN"/>
    </w:rPr>
  </w:style>
  <w:style w:type="paragraph" w:styleId="a4">
    <w:name w:val="Normal (Web)"/>
    <w:basedOn w:val="a"/>
    <w:uiPriority w:val="99"/>
    <w:rsid w:val="00DF16BA"/>
    <w:pPr>
      <w:spacing w:after="100" w:afterAutospacing="1" w:before="100" w:beforeAutospacing="1" w:line="240" w:lineRule="auto"/>
    </w:pPr>
    <w:rPr>
      <w:rFonts w:ascii="Times New Roman" w:hAnsi="Times New Roman"/>
      <w:sz w:val="24"/>
      <w:szCs w:val="24"/>
    </w:rPr>
  </w:style>
  <w:style w:type="character" w:styleId="apple-converted-space" w:customStyle="1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 w:val="1"/>
    <w:rsid w:val="00441ACD"/>
    <w:pPr>
      <w:ind w:left="720"/>
      <w:contextualSpacing w:val="1"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7" w:customStyle="1">
    <w:name w:val="Текст выноски Знак"/>
    <w:basedOn w:val="a0"/>
    <w:link w:val="a6"/>
    <w:rsid w:val="00571A57"/>
    <w:rPr>
      <w:rFonts w:ascii="Tahoma" w:cs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styleId="ab" w:customStyle="1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styleId="AB630D60F59F403CB531B268FE76FA17" w:customStyle="1">
    <w:name w:val="AB630D60F59F403CB531B268FE76FA17"/>
    <w:rsid w:val="00676937"/>
    <w:pPr>
      <w:spacing w:after="200" w:line="276" w:lineRule="auto"/>
    </w:pPr>
    <w:rPr>
      <w:rFonts w:asciiTheme="minorHAnsi" w:cstheme="minorBidi" w:eastAsiaTheme="minorEastAsia" w:hAnsiTheme="minorHAnsi"/>
      <w:sz w:val="22"/>
      <w:szCs w:val="22"/>
    </w:rPr>
  </w:style>
  <w:style w:type="character" w:styleId="20" w:customStyle="1">
    <w:name w:val="Заголовок 2 Знак"/>
    <w:basedOn w:val="a0"/>
    <w:link w:val="2"/>
    <w:rsid w:val="00BF6513"/>
    <w:rPr>
      <w:rFonts w:ascii="Arial" w:hAnsi="Arial"/>
      <w:b w:val="1"/>
      <w:i w:val="1"/>
      <w:sz w:val="22"/>
      <w:szCs w:val="24"/>
      <w:lang w:eastAsia="en-US" w:val="en-GB"/>
    </w:rPr>
  </w:style>
  <w:style w:type="character" w:styleId="ac" w:customStyle="1">
    <w:name w:val="Основной текст_"/>
    <w:basedOn w:val="a0"/>
    <w:link w:val="4"/>
    <w:rsid w:val="00BF6513"/>
    <w:rPr>
      <w:rFonts w:ascii="Calibri" w:cs="Calibri" w:eastAsia="Calibri" w:hAnsi="Calibri"/>
      <w:spacing w:val="2"/>
      <w:shd w:color="auto" w:fill="ffffff" w:val="clear"/>
    </w:rPr>
  </w:style>
  <w:style w:type="character" w:styleId="11" w:customStyle="1">
    <w:name w:val="Основной текст1"/>
    <w:basedOn w:val="ac"/>
    <w:rsid w:val="00BF6513"/>
    <w:rPr>
      <w:rFonts w:ascii="Calibri" w:cs="Calibri" w:eastAsia="Calibri" w:hAnsi="Calibri"/>
      <w:color w:val="000000"/>
      <w:spacing w:val="2"/>
      <w:w w:val="100"/>
      <w:position w:val="0"/>
      <w:shd w:color="auto" w:fill="ffffff" w:val="clear"/>
      <w:lang w:val="ru-RU"/>
    </w:rPr>
  </w:style>
  <w:style w:type="paragraph" w:styleId="4" w:customStyle="1">
    <w:name w:val="Основной текст4"/>
    <w:basedOn w:val="a"/>
    <w:link w:val="ac"/>
    <w:rsid w:val="00BF6513"/>
    <w:pPr>
      <w:widowControl w:val="0"/>
      <w:shd w:color="auto" w:fill="ffffff" w:val="clear"/>
      <w:spacing w:after="240" w:before="420" w:line="298" w:lineRule="exact"/>
      <w:ind w:hanging="360"/>
      <w:jc w:val="both"/>
    </w:pPr>
    <w:rPr>
      <w:rFonts w:cs="Calibri" w:eastAsia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ocsubtitle2" w:customStyle="1">
    <w:name w:val="Doc subtitle2"/>
    <w:basedOn w:val="a"/>
    <w:link w:val="Docsubtitle2Char"/>
    <w:qFormat w:val="1"/>
    <w:rsid w:val="006151AB"/>
    <w:pPr>
      <w:spacing w:after="0" w:line="240" w:lineRule="auto"/>
    </w:pPr>
    <w:rPr>
      <w:rFonts w:ascii="Arial" w:hAnsi="Arial" w:cstheme="minorBidi" w:eastAsiaTheme="minorHAnsi"/>
      <w:sz w:val="28"/>
      <w:szCs w:val="28"/>
      <w:lang w:eastAsia="en-US" w:val="en-GB"/>
    </w:rPr>
  </w:style>
  <w:style w:type="character" w:styleId="Docsubtitle2Char" w:customStyle="1">
    <w:name w:val="Doc subtitle2 Char"/>
    <w:basedOn w:val="a0"/>
    <w:link w:val="Docsubtitle2"/>
    <w:rsid w:val="006151AB"/>
    <w:rPr>
      <w:rFonts w:ascii="Arial" w:hAnsi="Arial" w:cstheme="minorBidi" w:eastAsiaTheme="minorHAnsi"/>
      <w:sz w:val="28"/>
      <w:szCs w:val="28"/>
      <w:lang w:eastAsia="en-US" w:val="en-GB"/>
    </w:rPr>
  </w:style>
  <w:style w:type="paragraph" w:styleId="Doctitle" w:customStyle="1">
    <w:name w:val="Doc title"/>
    <w:basedOn w:val="a"/>
    <w:rsid w:val="006151AB"/>
    <w:pPr>
      <w:spacing w:after="0" w:line="240" w:lineRule="auto"/>
    </w:pPr>
    <w:rPr>
      <w:rFonts w:ascii="Arial" w:hAnsi="Arial"/>
      <w:b w:val="1"/>
      <w:sz w:val="40"/>
      <w:szCs w:val="24"/>
      <w:lang w:eastAsia="en-US" w:val="en-GB"/>
    </w:rPr>
  </w:style>
  <w:style w:type="paragraph" w:styleId="western" w:customStyle="1">
    <w:name w:val="western"/>
    <w:basedOn w:val="a"/>
    <w:rsid w:val="00D217BC"/>
    <w:pPr>
      <w:spacing w:after="100" w:afterAutospacing="1" w:before="100" w:before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 w:val="1"/>
    <w:unhideWhenUsed w:val="1"/>
    <w:rsid w:val="00CF261F"/>
    <w:rPr>
      <w:sz w:val="16"/>
      <w:szCs w:val="16"/>
    </w:rPr>
  </w:style>
  <w:style w:type="paragraph" w:styleId="af">
    <w:name w:val="annotation text"/>
    <w:basedOn w:val="a"/>
    <w:link w:val="af0"/>
    <w:semiHidden w:val="1"/>
    <w:unhideWhenUsed w:val="1"/>
    <w:rsid w:val="00CF261F"/>
    <w:pPr>
      <w:spacing w:line="240" w:lineRule="auto"/>
    </w:pPr>
    <w:rPr>
      <w:sz w:val="20"/>
      <w:szCs w:val="20"/>
    </w:rPr>
  </w:style>
  <w:style w:type="character" w:styleId="af0" w:customStyle="1">
    <w:name w:val="Текст примечания Знак"/>
    <w:basedOn w:val="a0"/>
    <w:link w:val="af"/>
    <w:semiHidden w:val="1"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 w:val="1"/>
    <w:unhideWhenUsed w:val="1"/>
    <w:rsid w:val="00CF261F"/>
    <w:rPr>
      <w:b w:val="1"/>
      <w:bCs w:val="1"/>
    </w:rPr>
  </w:style>
  <w:style w:type="character" w:styleId="af2" w:customStyle="1">
    <w:name w:val="Тема примечания Знак"/>
    <w:basedOn w:val="af0"/>
    <w:link w:val="af1"/>
    <w:semiHidden w:val="1"/>
    <w:rsid w:val="00CF261F"/>
    <w:rPr>
      <w:rFonts w:ascii="Calibri" w:hAnsi="Calibri"/>
      <w:b w:val="1"/>
      <w:bCs w:val="1"/>
    </w:rPr>
  </w:style>
  <w:style w:type="character" w:styleId="10" w:customStyle="1">
    <w:name w:val="Заголовок 1 Знак"/>
    <w:basedOn w:val="a0"/>
    <w:link w:val="1"/>
    <w:rsid w:val="000A1DA8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af3">
    <w:name w:val="TOC Heading"/>
    <w:basedOn w:val="1"/>
    <w:next w:val="a"/>
    <w:uiPriority w:val="39"/>
    <w:unhideWhenUsed w:val="1"/>
    <w:qFormat w:val="1"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 w:val="1"/>
    <w:rsid w:val="000A1DA8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af5" w:customStyle="1">
    <w:name w:val="Заголовок Знак"/>
    <w:basedOn w:val="a0"/>
    <w:link w:val="af4"/>
    <w:rsid w:val="000A1DA8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 w:val="1"/>
    <w:uiPriority w:val="39"/>
    <w:unhideWhenUsed w:val="1"/>
    <w:rsid w:val="000A1DA8"/>
    <w:pPr>
      <w:spacing w:after="0" w:before="240"/>
    </w:pPr>
    <w:rPr>
      <w:rFonts w:asciiTheme="minorHAnsi" w:cstheme="minorHAnsi" w:hAnsiTheme="minorHAnsi"/>
      <w:b w:val="1"/>
      <w:bCs w:val="1"/>
      <w:sz w:val="20"/>
      <w:szCs w:val="20"/>
    </w:rPr>
  </w:style>
  <w:style w:type="paragraph" w:styleId="12">
    <w:name w:val="toc 1"/>
    <w:basedOn w:val="a"/>
    <w:next w:val="a"/>
    <w:autoRedefine w:val="1"/>
    <w:uiPriority w:val="39"/>
    <w:unhideWhenUsed w:val="1"/>
    <w:rsid w:val="000A1DA8"/>
    <w:pPr>
      <w:spacing w:after="0" w:before="360"/>
    </w:pPr>
    <w:rPr>
      <w:rFonts w:asciiTheme="majorHAnsi" w:hAnsiTheme="majorHAnsi"/>
      <w:b w:val="1"/>
      <w:bCs w:val="1"/>
      <w:caps w:val="1"/>
      <w:sz w:val="24"/>
      <w:szCs w:val="24"/>
    </w:rPr>
  </w:style>
  <w:style w:type="paragraph" w:styleId="3">
    <w:name w:val="toc 3"/>
    <w:basedOn w:val="a"/>
    <w:next w:val="a"/>
    <w:autoRedefine w:val="1"/>
    <w:uiPriority w:val="39"/>
    <w:unhideWhenUsed w:val="1"/>
    <w:rsid w:val="000A1DA8"/>
    <w:pPr>
      <w:spacing w:after="0"/>
      <w:ind w:left="220"/>
    </w:pPr>
    <w:rPr>
      <w:rFonts w:asciiTheme="minorHAnsi" w:cstheme="minorHAnsi" w:hAnsiTheme="minorHAnsi"/>
      <w:sz w:val="20"/>
      <w:szCs w:val="20"/>
    </w:rPr>
  </w:style>
  <w:style w:type="character" w:styleId="af6">
    <w:name w:val="Hyperlink"/>
    <w:basedOn w:val="a0"/>
    <w:uiPriority w:val="99"/>
    <w:unhideWhenUsed w:val="1"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 w:val="1"/>
    <w:unhideWhenUsed w:val="1"/>
    <w:rsid w:val="00AE1B88"/>
    <w:pPr>
      <w:spacing w:after="0"/>
      <w:ind w:left="440"/>
    </w:pPr>
    <w:rPr>
      <w:rFonts w:asciiTheme="minorHAnsi" w:cstheme="minorHAnsi" w:hAnsiTheme="minorHAnsi"/>
      <w:sz w:val="20"/>
      <w:szCs w:val="20"/>
    </w:rPr>
  </w:style>
  <w:style w:type="paragraph" w:styleId="5">
    <w:name w:val="toc 5"/>
    <w:basedOn w:val="a"/>
    <w:next w:val="a"/>
    <w:autoRedefine w:val="1"/>
    <w:unhideWhenUsed w:val="1"/>
    <w:rsid w:val="00AE1B88"/>
    <w:pPr>
      <w:spacing w:after="0"/>
      <w:ind w:left="660"/>
    </w:pPr>
    <w:rPr>
      <w:rFonts w:asciiTheme="minorHAnsi" w:cstheme="minorHAnsi" w:hAnsiTheme="minorHAnsi"/>
      <w:sz w:val="20"/>
      <w:szCs w:val="20"/>
    </w:rPr>
  </w:style>
  <w:style w:type="paragraph" w:styleId="6">
    <w:name w:val="toc 6"/>
    <w:basedOn w:val="a"/>
    <w:next w:val="a"/>
    <w:autoRedefine w:val="1"/>
    <w:unhideWhenUsed w:val="1"/>
    <w:rsid w:val="00AE1B88"/>
    <w:pPr>
      <w:spacing w:after="0"/>
      <w:ind w:left="880"/>
    </w:pPr>
    <w:rPr>
      <w:rFonts w:asciiTheme="minorHAnsi" w:cstheme="minorHAnsi" w:hAnsiTheme="minorHAnsi"/>
      <w:sz w:val="20"/>
      <w:szCs w:val="20"/>
    </w:rPr>
  </w:style>
  <w:style w:type="paragraph" w:styleId="7">
    <w:name w:val="toc 7"/>
    <w:basedOn w:val="a"/>
    <w:next w:val="a"/>
    <w:autoRedefine w:val="1"/>
    <w:unhideWhenUsed w:val="1"/>
    <w:rsid w:val="00AE1B88"/>
    <w:pPr>
      <w:spacing w:after="0"/>
      <w:ind w:left="1100"/>
    </w:pPr>
    <w:rPr>
      <w:rFonts w:asciiTheme="minorHAnsi" w:cstheme="minorHAnsi" w:hAnsiTheme="minorHAnsi"/>
      <w:sz w:val="20"/>
      <w:szCs w:val="20"/>
    </w:rPr>
  </w:style>
  <w:style w:type="paragraph" w:styleId="8">
    <w:name w:val="toc 8"/>
    <w:basedOn w:val="a"/>
    <w:next w:val="a"/>
    <w:autoRedefine w:val="1"/>
    <w:unhideWhenUsed w:val="1"/>
    <w:rsid w:val="00AE1B88"/>
    <w:pPr>
      <w:spacing w:after="0"/>
      <w:ind w:left="1320"/>
    </w:pPr>
    <w:rPr>
      <w:rFonts w:asciiTheme="minorHAnsi" w:cstheme="minorHAnsi" w:hAnsiTheme="minorHAnsi"/>
      <w:sz w:val="20"/>
      <w:szCs w:val="20"/>
    </w:rPr>
  </w:style>
  <w:style w:type="paragraph" w:styleId="9">
    <w:name w:val="toc 9"/>
    <w:basedOn w:val="a"/>
    <w:next w:val="a"/>
    <w:autoRedefine w:val="1"/>
    <w:unhideWhenUsed w:val="1"/>
    <w:rsid w:val="00AE1B88"/>
    <w:pPr>
      <w:spacing w:after="0"/>
      <w:ind w:left="1540"/>
    </w:pPr>
    <w:rPr>
      <w:rFonts w:asciiTheme="minorHAnsi" w:cstheme="minorHAnsi" w:hAnsiTheme="minorHAnsi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DXluDyb6Zg9CWR9aEHWR+uU0Ig==">AMUW2mU1LjPjgxFXfAIUFN945XksDxTBikkbaCViZMRR2zoosB9cncCFZr9NMK3SYOVHfHX9pSDPLrpn3DjSlB7KjnO0iXuUUz4Z9QqA8Axnm6RUHmpxKvCv25gKCq1cty5DS+dJHLjp2pm4fvgpgQPuwKfBHOZ4gLfnYZbQdH8YZVicoPgHTfq4K5PCjJLbCDO8UAYRn3riUi1tbsV4d5UZvbNHJtqHEA==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2021-03-30T15:41:00Z</dcterms:created>
  <dc:creator>Copyright © NSALAB 2021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0x01010060B69699A13D0B4CA63681947F1FC185</vt:lpwstr>
  </property>
</Properties>
</file>