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ТИПОВОЕ КОНКУРСНОЕ ЗАДАНИЕ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ДЛЯ РЕГИОНАЛЬНОГО ЧЕМПИОНАТА %РЕГИОН_NAME%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чемпионатного цикла 2021-2022 гг.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компетенции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«СЕТЕВОЕ И СИСТЕМНОЕ АДМИНИСТРИРОВАНИЕ»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основной возрастной категории 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16-22 года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Конкурсное задание включает в себя следующие разделы:</w:t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1005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Форма участия в конкурсе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1005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Общее время на выполнение задания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1005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Задание для конкурса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1005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Модули задания и необходимое время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440"/>
              <w:tab w:val="right" w:pos="10053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Критерии оценки.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after="0"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-29209</wp:posOffset>
            </wp:positionH>
            <wp:positionV relativeFrom="margin">
              <wp:posOffset>4652010</wp:posOffset>
            </wp:positionV>
            <wp:extent cx="7575905" cy="6065822"/>
            <wp:effectExtent b="0" l="0" r="0" t="0"/>
            <wp:wrapNone/>
            <wp:docPr descr="C:\Users\A.Platko\AppData\Local\Microsoft\Windows\INetCache\Content.Word\техописание1.jpg" id="18" name="image3.jpg"/>
            <a:graphic>
              <a:graphicData uri="http://schemas.openxmlformats.org/drawingml/2006/picture">
                <pic:pic>
                  <pic:nvPicPr>
                    <pic:cNvPr descr="C:\Users\A.Platko\AppData\Local\Microsoft\Windows\INetCache\Content.Word\техописание1.jpg" id="0" name="image3.jpg"/>
                    <pic:cNvPicPr preferRelativeResize="0"/>
                  </pic:nvPicPr>
                  <pic:blipFill>
                    <a:blip r:embed="rId7"/>
                    <a:srcRect b="0" l="0" r="0"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5905" cy="6065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Форма участия в конкурсе: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Индивидуальный конкурс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Общее время на выполнение задания: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15 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Задание для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Конкурсное задание состоит из трех независимых модулей, которые участники выполняют последовательно в конкурсные дни C1, C2 и С3.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Каждый модуль оценивается в день его проведения с использованием автоматизированных средств проверки. Инфраструктурные детали реализации конкурсного задания являются секретными до момента начала выполнения задания.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Модули задания и необходимое время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45"/>
        </w:tabs>
        <w:spacing w:after="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1.</w:t>
      </w:r>
    </w:p>
    <w:tbl>
      <w:tblPr>
        <w:tblStyle w:val="Table1"/>
        <w:tblW w:w="100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"/>
        <w:gridCol w:w="5197"/>
        <w:gridCol w:w="2268"/>
        <w:gridCol w:w="2260"/>
        <w:tblGridChange w:id="0">
          <w:tblGrid>
            <w:gridCol w:w="328"/>
            <w:gridCol w:w="5197"/>
            <w:gridCol w:w="2268"/>
            <w:gridCol w:w="22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Наименование модуля</w:t>
            </w:r>
          </w:p>
        </w:tc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Соревновательный день (С1, С2, С3)</w:t>
            </w:r>
          </w:p>
        </w:tc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Время на задание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ind w:hanging="3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А: «Пуско-наладка информационной инфраструктуры»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ч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ind w:hanging="3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B: «Аудит состояния инфраструктуры и устранение неисправностей»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ч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ind w:hanging="3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С: «Автоматизация развертывания приложения»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hanging="3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 ч</w:t>
            </w:r>
          </w:p>
        </w:tc>
      </w:tr>
    </w:tbl>
    <w:p w:rsidR="00000000" w:rsidDel="00000000" w:rsidP="00000000" w:rsidRDefault="00000000" w:rsidRPr="00000000" w14:paraId="0000002F">
      <w:pPr>
        <w:spacing w:after="0" w:befor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rFonts w:ascii="Times New Roman" w:cs="Times New Roman" w:eastAsia="Times New Roman" w:hAnsi="Times New Roman"/>
          <w:b w:val="1"/>
          <w:color w:val="366091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4"/>
          <w:szCs w:val="24"/>
          <w:rtl w:val="0"/>
        </w:rPr>
        <w:t xml:space="preserve">Описание конкурсного задания</w:t>
      </w:r>
    </w:p>
    <w:p w:rsidR="00000000" w:rsidDel="00000000" w:rsidP="00000000" w:rsidRDefault="00000000" w:rsidRPr="00000000" w14:paraId="00000031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Компания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SkillsCloud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является лидером на рынке разработки прикладных программных интерфейсов для анализа данных автоматизированных систем управления технологическими процессами. В 2021 году, с целью снижения капитальных затрат на содержание собственной информационной инфраструктуры, компания реализовывает пилотный проект по переходу на модель «инфраструктура как сервис» (IaaS) и тестирует размещение своих программных продуктов на инфраструктуре публичного облака Microsoft Azure, а также проводит отбор кандидатов для дальнейшей работы над данным проектом.</w:t>
      </w:r>
    </w:p>
    <w:p w:rsidR="00000000" w:rsidDel="00000000" w:rsidP="00000000" w:rsidRDefault="00000000" w:rsidRPr="00000000" w14:paraId="00000032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практических испытаний, кандидатам будет предложено обеспечить отказоустойчивой инфраструктуры для функционирования специализированного веб-приложения в нескольких регионах присутствия основного заказчика. </w:t>
      </w:r>
    </w:p>
    <w:p w:rsidR="00000000" w:rsidDel="00000000" w:rsidP="00000000" w:rsidRDefault="00000000" w:rsidRPr="00000000" w14:paraId="00000033">
      <w:pPr>
        <w:widowControl w:val="0"/>
        <w:rPr>
          <w:rFonts w:ascii="Times New Roman" w:cs="Times New Roman" w:eastAsia="Times New Roman" w:hAnsi="Times New Roman"/>
          <w:b w:val="1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4"/>
          <w:szCs w:val="24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34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Общие требования: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60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точки зрения внешних систем, данное веб-приложение должно быть доступно через единую точку входа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https://app.prefix.az.skillscloud.company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(где prefix — индивидуальный идентификатор кандидата).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выходе из строя одного (или нескольких) экземпляров приложения (в том числе, при отказе одного или нескольких регионов или зон доступности), простой времени доступа к приложению не должен превышать 10 секунд;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входящие запросы к приложению из глобальной сети должны приниматься только с применением защищенных протоколов уровня приложения</w:t>
      </w:r>
    </w:p>
    <w:p w:rsidR="00000000" w:rsidDel="00000000" w:rsidP="00000000" w:rsidRDefault="00000000" w:rsidRPr="00000000" w14:paraId="00000038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Пограничные платформы управления трафиком должны: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полный доступ в глобальную сеть интернет для соответствующей региональной частной подсети;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доступ к соответствующему региональному экземпляру веб-приложения для любых внешних систем;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полную сетевую связность между региональными частными подсетями</w:t>
      </w:r>
    </w:p>
    <w:p w:rsidR="00000000" w:rsidDel="00000000" w:rsidP="00000000" w:rsidRDefault="00000000" w:rsidRPr="00000000" w14:paraId="0000003C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Платформы для размещения приложения должны: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работу приложения и всех его функциональных зависимостей (описанных в документации к приложению);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перенаправлять входящие запросы по незащищенному протоколу прикладного уровня на адрес основной точки входа;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распределять входящие запросы между остальными региональными экземплярами приложения в случае, если локальный экземпляр приложения неисправен (возвращает HTTP код 5XX);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реализовывать необходимые механизмы для автоматического перезапуска локального экземпляра приложения, в случае его отказа.</w:t>
      </w:r>
    </w:p>
    <w:p w:rsidR="00000000" w:rsidDel="00000000" w:rsidP="00000000" w:rsidRDefault="00000000" w:rsidRPr="00000000" w14:paraId="00000041">
      <w:pPr>
        <w:widowControl w:val="0"/>
        <w:rPr>
          <w:rFonts w:ascii="Times New Roman" w:cs="Times New Roman" w:eastAsia="Times New Roman" w:hAnsi="Times New Roman"/>
          <w:b w:val="1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4"/>
          <w:szCs w:val="24"/>
          <w:rtl w:val="0"/>
        </w:rPr>
        <w:t xml:space="preserve">Сценарии реализации</w:t>
      </w:r>
    </w:p>
    <w:p w:rsidR="00000000" w:rsidDel="00000000" w:rsidP="00000000" w:rsidRDefault="00000000" w:rsidRPr="00000000" w14:paraId="00000042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Сценарий 1: «Пуско-наладка информационной инфраструктуры»</w:t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базовом сценарии кандидаты получают доступ к порталу управления облачной инфраструктурой Microsoft Azure, где в соответствующих регионах, в рамках изолированной группы ресурсов, созданы все необходимые базовые элементы — подсети, сетевые интерфейсы, DNS-зоны, Bastion-хосты, а также виртуальные машины: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границе глобальной и приватной сети каждого региона развернута специализированная виртуальная платформа для управления сетевым трафиком;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приватной сети каждого региона — виртуальная платформа для размещения приложения.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Располагая данными ресурсами, кандидатам необходимо привести состояние инфраструктуры в полное соответствие с техническим заданием.</w:t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Спецификация оценки сценария</w:t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данного сценария оцениваются навыки самостоятельного выбора программных компонентов для реализации решения в соответствии с техническим заданием, обеспечивающих работу системы в следующих состояниях:</w:t>
      </w:r>
    </w:p>
    <w:p w:rsidR="00000000" w:rsidDel="00000000" w:rsidP="00000000" w:rsidRDefault="00000000" w:rsidRPr="00000000" w14:paraId="00000049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Штатное состояние инфраструктуры — базовые проверки на выполнение условий доступности, в том числе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доступа к внешним системам (8%)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Межрегиональная связность (17%)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Доступность веб приложения (22%)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Аварийное состояние инфраструктуры — проверки выполнения условий доступности в случаях нарушения работы избыточных компонентов, в том числе: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Отказоустойчивость межрегиональной сети (20%)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Отказоустойчивость веб приложения (33%)</w:t>
      </w:r>
    </w:p>
    <w:p w:rsidR="00000000" w:rsidDel="00000000" w:rsidP="00000000" w:rsidRDefault="00000000" w:rsidRPr="00000000" w14:paraId="00000050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Сценарий 2: «Аудит состояния инфраструктуры и устранение неисправностей»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сценарии кандидаты получают доступ к изолированной группе ресурсов, которая содержит преднастроенный экземпляр инфраструктуры, реализованной с учётом требований технического задания.  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данной инфраструктуры, используя имеющиеся инструменты аудита, кандидатам необходимо провести аудит текущего состояния инфраструктуры, а также привести состояние инфраструктуры в полное соответствие с техническим заданием путём устранения найденных неисправностей.</w:t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Спецификация оценки сценария</w:t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данного сценария оцениваются навыки работы со штатными средствами аудита операционных систем, а также навыки работы с уже внедренными программными компонентами для реализации решения в соответствии с техническим заданием. Оценка производится по следующим доменам:</w:t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состояния инфраструктуры — проверки результатов аудита, в том числе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Аудит платформ управления трафиком (20%)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Аудит платформ для размещения приложения (13%)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Аудит приложения и его основных зависимостей (16%)</w:t>
      </w:r>
    </w:p>
    <w:p w:rsidR="00000000" w:rsidDel="00000000" w:rsidP="00000000" w:rsidRDefault="00000000" w:rsidRPr="00000000" w14:paraId="00000059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Устранение неисправностей — проверки выполнения условий доступности в случаях нарушения работы избыточных компонентов, в том числе: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Отказоустойчивость межрегиональной сети (15%)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Отказоустойчивость веб приложения (35%)</w:t>
      </w:r>
    </w:p>
    <w:p w:rsidR="00000000" w:rsidDel="00000000" w:rsidP="00000000" w:rsidRDefault="00000000" w:rsidRPr="00000000" w14:paraId="0000005C">
      <w:pPr>
        <w:widowControl w:val="0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Сценарий 3: «Автоматизация развертывания приложения и базового аудита»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сценарии кандидаты получают доступ к базовому репозиторию, а также описание входных и выходных данных. На основе данной информации кандидатам необходимо решить задачу автоматизации развертывания приложения и всех его основных компонентов, а также предусмотреть автоматический сбор базовой информации о платформах, на которых размещается приложение. 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тестирования своего решения кандидатам предоставляется доступ к изолированной группе ресурсов, которая содержит базовые экземпляры платформ для размещения приложения. Данный сценарий не предусматривает работу взаимодействие программное взаимодействие с платформами управления трафиком — предполагается, что данные платформы настроены и работают, таким образом являются “прозрачными” для кандидатов.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выполнения задания по данному сценарию кандидатам необходимо зарегистрировать свой репозиторий кода, который содержит все необходимые элементы для развертывания приложения в соответствии с техническим заданием.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Спецификация оценки сценария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данного сценария оцениваются навыки работы с инструментами автоматизации и управления конфигурациями для реализации идемпотентного поведения конвейера автоматизации развертывания приложения в соответствии с техническим заданием. Оценка производится по следующим доменам: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Доступность веб приложения (27%)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Отказоустойчивость веб приложения (21%)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Аудит платформ для размещения приложения (51%)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Критерии оценки.</w:t>
      </w:r>
    </w:p>
    <w:p w:rsidR="00000000" w:rsidDel="00000000" w:rsidP="00000000" w:rsidRDefault="00000000" w:rsidRPr="00000000" w14:paraId="00000067">
      <w:pPr>
        <w:spacing w:after="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2.</w:t>
      </w:r>
    </w:p>
    <w:tbl>
      <w:tblPr>
        <w:tblStyle w:val="Table2"/>
        <w:tblW w:w="100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6"/>
        <w:gridCol w:w="5014"/>
        <w:gridCol w:w="1335"/>
        <w:gridCol w:w="1801"/>
        <w:gridCol w:w="1387"/>
        <w:tblGridChange w:id="0">
          <w:tblGrid>
            <w:gridCol w:w="516"/>
            <w:gridCol w:w="5014"/>
            <w:gridCol w:w="1335"/>
            <w:gridCol w:w="1801"/>
            <w:gridCol w:w="1387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shd w:fill="4f81bd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>
            <w:gridSpan w:val="3"/>
            <w:shd w:fill="4f81bd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4f81bd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Судейские аспекты</w:t>
            </w:r>
          </w:p>
        </w:tc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Объективная оценка</w:t>
            </w:r>
          </w:p>
        </w:tc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Общая оценка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Пуско-наладка информационной инфраструктуры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Аудит состояния инфраструктуры и устранение неисправностей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Автоматизация развертывания приложения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Итого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86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*данное разбиение по баллам является ознакомительным и может быть пересмотрено разработчиками конкурсного задания</w:t>
      </w:r>
    </w:p>
    <w:p w:rsidR="00000000" w:rsidDel="00000000" w:rsidP="00000000" w:rsidRDefault="00000000" w:rsidRPr="00000000" w14:paraId="00000087">
      <w:pPr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536" w:left="1134" w:right="709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63.0" w:type="dxa"/>
      <w:jc w:val="center"/>
      <w:tblLayout w:type="fixed"/>
      <w:tblLook w:val="0400"/>
    </w:tblPr>
    <w:tblGrid>
      <w:gridCol w:w="6379"/>
      <w:gridCol w:w="3684"/>
      <w:tblGridChange w:id="0">
        <w:tblGrid>
          <w:gridCol w:w="6379"/>
          <w:gridCol w:w="3684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c0000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77"/>
              <w:tab w:val="right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c0000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77"/>
              <w:tab w:val="right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77"/>
              <w:tab w:val="right" w:pos="9355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Copyright © NSALAB 2021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77"/>
              <w:tab w:val="right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4635500</wp:posOffset>
          </wp:positionH>
          <wp:positionV relativeFrom="margin">
            <wp:posOffset>-584199</wp:posOffset>
          </wp:positionV>
          <wp:extent cx="1905000" cy="1394460"/>
          <wp:effectExtent b="0" l="0" r="0" t="0"/>
          <wp:wrapSquare wrapText="bothSides" distB="0" distT="0" distL="114300" distR="114300"/>
          <wp:docPr descr="C:\Users\A.Platko\AppData\Local\Microsoft\Windows\INetCache\Content.Word\lands(red).png" id="19" name="image1.png"/>
          <a:graphic>
            <a:graphicData uri="http://schemas.openxmlformats.org/drawingml/2006/picture">
              <pic:pic>
                <pic:nvPicPr>
                  <pic:cNvPr descr="C:\Users\A.Platko\AppData\Local\Microsoft\Windows\INetCache\Content.Word\lands(red).png" id="0" name="image1.png"/>
                  <pic:cNvPicPr preferRelativeResize="0"/>
                </pic:nvPicPr>
                <pic:blipFill>
                  <a:blip r:embed="rId1"/>
                  <a:srcRect b="0" l="0" r="36238" t="0"/>
                  <a:stretch>
                    <a:fillRect/>
                  </a:stretch>
                </pic:blipFill>
                <pic:spPr>
                  <a:xfrm>
                    <a:off x="0" y="0"/>
                    <a:ext cx="1905000" cy="1394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5775960</wp:posOffset>
          </wp:positionH>
          <wp:positionV relativeFrom="paragraph">
            <wp:posOffset>-97789</wp:posOffset>
          </wp:positionV>
          <wp:extent cx="952500" cy="687070"/>
          <wp:effectExtent b="0" l="0" r="0" t="0"/>
          <wp:wrapTopAndBottom distB="0" distT="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35286" t="0"/>
                  <a:stretch>
                    <a:fillRect/>
                  </a:stretch>
                </pic:blipFill>
                <pic:spPr>
                  <a:xfrm>
                    <a:off x="0" y="0"/>
                    <a:ext cx="952500" cy="6870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a" w:default="1">
    <w:name w:val="Normal"/>
    <w:qFormat w:val="1"/>
    <w:rsid w:val="00FB11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 w:val="1"/>
    <w:rsid w:val="000A1DA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qFormat w:val="1"/>
    <w:rsid w:val="00BF6513"/>
    <w:pPr>
      <w:keepNext w:val="1"/>
      <w:spacing w:after="120" w:before="240" w:line="240" w:lineRule="auto"/>
      <w:outlineLvl w:val="1"/>
    </w:pPr>
    <w:rPr>
      <w:rFonts w:ascii="Arial" w:hAnsi="Arial"/>
      <w:b w:val="1"/>
      <w:i w:val="1"/>
      <w:szCs w:val="24"/>
      <w:lang w:eastAsia="en-US" w:val="en-GB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Базовый"/>
    <w:rsid w:val="00DF16BA"/>
    <w:pPr>
      <w:widowControl w:val="0"/>
      <w:suppressAutoHyphens w:val="1"/>
      <w:spacing w:after="200" w:line="276" w:lineRule="auto"/>
    </w:pPr>
    <w:rPr>
      <w:rFonts w:ascii="Liberation Serif" w:cs="Lohit Hindi" w:hAnsi="Liberation Serif"/>
      <w:sz w:val="24"/>
      <w:szCs w:val="24"/>
      <w:lang w:bidi="hi-IN" w:eastAsia="zh-CN"/>
    </w:rPr>
  </w:style>
  <w:style w:type="paragraph" w:styleId="a4">
    <w:name w:val="Normal (Web)"/>
    <w:basedOn w:val="a"/>
    <w:uiPriority w:val="99"/>
    <w:rsid w:val="00DF16B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apple-converted-space" w:customStyle="1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 w:val="1"/>
    <w:rsid w:val="00441ACD"/>
    <w:pPr>
      <w:ind w:left="720"/>
      <w:contextualSpacing w:val="1"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rsid w:val="00571A57"/>
    <w:rPr>
      <w:rFonts w:ascii="Tahoma" w:cs="Tahoma" w:hAnsi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styleId="AB630D60F59F403CB531B268FE76FA17" w:customStyle="1">
    <w:name w:val="AB630D60F59F403CB531B268FE76FA17"/>
    <w:rsid w:val="00676937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</w:rPr>
  </w:style>
  <w:style w:type="character" w:styleId="20" w:customStyle="1">
    <w:name w:val="Заголовок 2 Знак"/>
    <w:basedOn w:val="a0"/>
    <w:link w:val="2"/>
    <w:rsid w:val="00BF6513"/>
    <w:rPr>
      <w:rFonts w:ascii="Arial" w:hAnsi="Arial"/>
      <w:b w:val="1"/>
      <w:i w:val="1"/>
      <w:sz w:val="22"/>
      <w:szCs w:val="24"/>
      <w:lang w:eastAsia="en-US" w:val="en-GB"/>
    </w:rPr>
  </w:style>
  <w:style w:type="character" w:styleId="ac" w:customStyle="1">
    <w:name w:val="Основной текст_"/>
    <w:basedOn w:val="a0"/>
    <w:link w:val="4"/>
    <w:rsid w:val="00BF6513"/>
    <w:rPr>
      <w:rFonts w:ascii="Calibri" w:cs="Calibri" w:eastAsia="Calibri" w:hAnsi="Calibri"/>
      <w:spacing w:val="2"/>
      <w:shd w:color="auto" w:fill="ffffff" w:val="clear"/>
    </w:rPr>
  </w:style>
  <w:style w:type="character" w:styleId="11" w:customStyle="1">
    <w:name w:val="Основной текст1"/>
    <w:basedOn w:val="ac"/>
    <w:rsid w:val="00BF6513"/>
    <w:rPr>
      <w:rFonts w:ascii="Calibri" w:cs="Calibri" w:eastAsia="Calibri" w:hAnsi="Calibri"/>
      <w:color w:val="000000"/>
      <w:spacing w:val="2"/>
      <w:w w:val="100"/>
      <w:position w:val="0"/>
      <w:shd w:color="auto" w:fill="ffffff" w:val="clear"/>
      <w:lang w:val="ru-RU"/>
    </w:rPr>
  </w:style>
  <w:style w:type="paragraph" w:styleId="4" w:customStyle="1">
    <w:name w:val="Основной текст4"/>
    <w:basedOn w:val="a"/>
    <w:link w:val="ac"/>
    <w:rsid w:val="00BF6513"/>
    <w:pPr>
      <w:widowControl w:val="0"/>
      <w:shd w:color="auto" w:fill="ffffff" w:val="clear"/>
      <w:spacing w:after="240" w:before="420" w:line="298" w:lineRule="exact"/>
      <w:ind w:hanging="360"/>
      <w:jc w:val="both"/>
    </w:pPr>
    <w:rPr>
      <w:rFonts w:cs="Calibri" w:eastAsia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subtitle2" w:customStyle="1">
    <w:name w:val="Doc subtitle2"/>
    <w:basedOn w:val="a"/>
    <w:link w:val="Docsubtitle2Char"/>
    <w:qFormat w:val="1"/>
    <w:rsid w:val="006151AB"/>
    <w:pPr>
      <w:spacing w:after="0" w:line="240" w:lineRule="auto"/>
    </w:pPr>
    <w:rPr>
      <w:rFonts w:ascii="Arial" w:hAnsi="Arial" w:cstheme="minorBidi" w:eastAsiaTheme="minorHAnsi"/>
      <w:sz w:val="28"/>
      <w:szCs w:val="28"/>
      <w:lang w:eastAsia="en-US" w:val="en-GB"/>
    </w:rPr>
  </w:style>
  <w:style w:type="character" w:styleId="Docsubtitle2Char" w:customStyle="1">
    <w:name w:val="Doc subtitle2 Char"/>
    <w:basedOn w:val="a0"/>
    <w:link w:val="Docsubtitle2"/>
    <w:rsid w:val="006151AB"/>
    <w:rPr>
      <w:rFonts w:ascii="Arial" w:hAnsi="Arial" w:cstheme="minorBidi" w:eastAsiaTheme="minorHAnsi"/>
      <w:sz w:val="28"/>
      <w:szCs w:val="28"/>
      <w:lang w:eastAsia="en-US" w:val="en-GB"/>
    </w:rPr>
  </w:style>
  <w:style w:type="paragraph" w:styleId="Doctitle" w:customStyle="1">
    <w:name w:val="Doc title"/>
    <w:basedOn w:val="a"/>
    <w:rsid w:val="006151AB"/>
    <w:pPr>
      <w:spacing w:after="0" w:line="240" w:lineRule="auto"/>
    </w:pPr>
    <w:rPr>
      <w:rFonts w:ascii="Arial" w:hAnsi="Arial"/>
      <w:b w:val="1"/>
      <w:sz w:val="40"/>
      <w:szCs w:val="24"/>
      <w:lang w:eastAsia="en-US" w:val="en-GB"/>
    </w:rPr>
  </w:style>
  <w:style w:type="paragraph" w:styleId="western" w:customStyle="1">
    <w:name w:val="western"/>
    <w:basedOn w:val="a"/>
    <w:rsid w:val="00D217BC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 w:val="1"/>
    <w:unhideWhenUsed w:val="1"/>
    <w:rsid w:val="00CF261F"/>
    <w:rPr>
      <w:sz w:val="16"/>
      <w:szCs w:val="16"/>
    </w:rPr>
  </w:style>
  <w:style w:type="paragraph" w:styleId="af">
    <w:name w:val="annotation text"/>
    <w:basedOn w:val="a"/>
    <w:link w:val="af0"/>
    <w:semiHidden w:val="1"/>
    <w:unhideWhenUsed w:val="1"/>
    <w:rsid w:val="00CF261F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semiHidden w:val="1"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 w:val="1"/>
    <w:unhideWhenUsed w:val="1"/>
    <w:rsid w:val="00CF261F"/>
    <w:rPr>
      <w:b w:val="1"/>
      <w:bCs w:val="1"/>
    </w:rPr>
  </w:style>
  <w:style w:type="character" w:styleId="af2" w:customStyle="1">
    <w:name w:val="Тема примечания Знак"/>
    <w:basedOn w:val="af0"/>
    <w:link w:val="af1"/>
    <w:semiHidden w:val="1"/>
    <w:rsid w:val="00CF261F"/>
    <w:rPr>
      <w:rFonts w:ascii="Calibri" w:hAnsi="Calibri"/>
      <w:b w:val="1"/>
      <w:bCs w:val="1"/>
    </w:rPr>
  </w:style>
  <w:style w:type="character" w:styleId="10" w:customStyle="1">
    <w:name w:val="Заголовок 1 Знак"/>
    <w:basedOn w:val="a0"/>
    <w:link w:val="1"/>
    <w:rsid w:val="000A1DA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af3">
    <w:name w:val="TOC Heading"/>
    <w:basedOn w:val="1"/>
    <w:next w:val="a"/>
    <w:uiPriority w:val="39"/>
    <w:unhideWhenUsed w:val="1"/>
    <w:qFormat w:val="1"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 w:val="1"/>
    <w:rsid w:val="000A1DA8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f5" w:customStyle="1">
    <w:name w:val="Заголовок Знак"/>
    <w:basedOn w:val="a0"/>
    <w:link w:val="af4"/>
    <w:rsid w:val="000A1DA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 w:val="1"/>
    <w:uiPriority w:val="39"/>
    <w:unhideWhenUsed w:val="1"/>
    <w:rsid w:val="000A1DA8"/>
    <w:pPr>
      <w:spacing w:after="0" w:before="240"/>
    </w:pPr>
    <w:rPr>
      <w:rFonts w:asciiTheme="minorHAnsi" w:cstheme="minorHAnsi" w:hAnsiTheme="minorHAnsi"/>
      <w:b w:val="1"/>
      <w:bCs w:val="1"/>
      <w:sz w:val="20"/>
      <w:szCs w:val="20"/>
    </w:rPr>
  </w:style>
  <w:style w:type="paragraph" w:styleId="12">
    <w:name w:val="toc 1"/>
    <w:basedOn w:val="a"/>
    <w:next w:val="a"/>
    <w:autoRedefine w:val="1"/>
    <w:uiPriority w:val="39"/>
    <w:unhideWhenUsed w:val="1"/>
    <w:rsid w:val="000A1DA8"/>
    <w:pPr>
      <w:spacing w:after="0" w:before="360"/>
    </w:pPr>
    <w:rPr>
      <w:rFonts w:asciiTheme="majorHAnsi" w:hAnsiTheme="majorHAnsi"/>
      <w:b w:val="1"/>
      <w:bCs w:val="1"/>
      <w:caps w:val="1"/>
      <w:sz w:val="24"/>
      <w:szCs w:val="24"/>
    </w:rPr>
  </w:style>
  <w:style w:type="paragraph" w:styleId="3">
    <w:name w:val="toc 3"/>
    <w:basedOn w:val="a"/>
    <w:next w:val="a"/>
    <w:autoRedefine w:val="1"/>
    <w:uiPriority w:val="39"/>
    <w:unhideWhenUsed w:val="1"/>
    <w:rsid w:val="000A1DA8"/>
    <w:pPr>
      <w:spacing w:after="0"/>
      <w:ind w:left="220"/>
    </w:pPr>
    <w:rPr>
      <w:rFonts w:asciiTheme="minorHAnsi" w:cstheme="minorHAnsi" w:hAnsiTheme="minorHAnsi"/>
      <w:sz w:val="20"/>
      <w:szCs w:val="20"/>
    </w:rPr>
  </w:style>
  <w:style w:type="character" w:styleId="af6">
    <w:name w:val="Hyperlink"/>
    <w:basedOn w:val="a0"/>
    <w:uiPriority w:val="99"/>
    <w:unhideWhenUsed w:val="1"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 w:val="1"/>
    <w:unhideWhenUsed w:val="1"/>
    <w:rsid w:val="00AE1B88"/>
    <w:pPr>
      <w:spacing w:after="0"/>
      <w:ind w:left="440"/>
    </w:pPr>
    <w:rPr>
      <w:rFonts w:asciiTheme="minorHAnsi" w:cstheme="minorHAnsi" w:hAnsiTheme="minorHAnsi"/>
      <w:sz w:val="20"/>
      <w:szCs w:val="20"/>
    </w:rPr>
  </w:style>
  <w:style w:type="paragraph" w:styleId="5">
    <w:name w:val="toc 5"/>
    <w:basedOn w:val="a"/>
    <w:next w:val="a"/>
    <w:autoRedefine w:val="1"/>
    <w:unhideWhenUsed w:val="1"/>
    <w:rsid w:val="00AE1B88"/>
    <w:pPr>
      <w:spacing w:after="0"/>
      <w:ind w:left="660"/>
    </w:pPr>
    <w:rPr>
      <w:rFonts w:asciiTheme="minorHAnsi" w:cstheme="minorHAnsi" w:hAnsiTheme="minorHAnsi"/>
      <w:sz w:val="20"/>
      <w:szCs w:val="20"/>
    </w:rPr>
  </w:style>
  <w:style w:type="paragraph" w:styleId="6">
    <w:name w:val="toc 6"/>
    <w:basedOn w:val="a"/>
    <w:next w:val="a"/>
    <w:autoRedefine w:val="1"/>
    <w:unhideWhenUsed w:val="1"/>
    <w:rsid w:val="00AE1B88"/>
    <w:pPr>
      <w:spacing w:after="0"/>
      <w:ind w:left="880"/>
    </w:pPr>
    <w:rPr>
      <w:rFonts w:asciiTheme="minorHAnsi" w:cstheme="minorHAnsi" w:hAnsiTheme="minorHAnsi"/>
      <w:sz w:val="20"/>
      <w:szCs w:val="20"/>
    </w:rPr>
  </w:style>
  <w:style w:type="paragraph" w:styleId="7">
    <w:name w:val="toc 7"/>
    <w:basedOn w:val="a"/>
    <w:next w:val="a"/>
    <w:autoRedefine w:val="1"/>
    <w:unhideWhenUsed w:val="1"/>
    <w:rsid w:val="00AE1B88"/>
    <w:pPr>
      <w:spacing w:after="0"/>
      <w:ind w:left="1100"/>
    </w:pPr>
    <w:rPr>
      <w:rFonts w:asciiTheme="minorHAnsi" w:cstheme="minorHAnsi" w:hAnsiTheme="minorHAnsi"/>
      <w:sz w:val="20"/>
      <w:szCs w:val="20"/>
    </w:rPr>
  </w:style>
  <w:style w:type="paragraph" w:styleId="8">
    <w:name w:val="toc 8"/>
    <w:basedOn w:val="a"/>
    <w:next w:val="a"/>
    <w:autoRedefine w:val="1"/>
    <w:unhideWhenUsed w:val="1"/>
    <w:rsid w:val="00AE1B88"/>
    <w:pPr>
      <w:spacing w:after="0"/>
      <w:ind w:left="1320"/>
    </w:pPr>
    <w:rPr>
      <w:rFonts w:asciiTheme="minorHAnsi" w:cstheme="minorHAnsi" w:hAnsiTheme="minorHAnsi"/>
      <w:sz w:val="20"/>
      <w:szCs w:val="20"/>
    </w:rPr>
  </w:style>
  <w:style w:type="paragraph" w:styleId="9">
    <w:name w:val="toc 9"/>
    <w:basedOn w:val="a"/>
    <w:next w:val="a"/>
    <w:autoRedefine w:val="1"/>
    <w:unhideWhenUsed w:val="1"/>
    <w:rsid w:val="00AE1B88"/>
    <w:pPr>
      <w:spacing w:after="0"/>
      <w:ind w:left="1540"/>
    </w:pPr>
    <w:rPr>
      <w:rFonts w:asciiTheme="minorHAnsi" w:cstheme="minorHAnsi" w:hAnsiTheme="minorHAns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DXluDyb6Zg9CWR9aEHWR+uU0Ig==">AMUW2mU1LjPjgxFXfAIUFN945XksDxTBikkbaCViZMRR2zoosB9cncCFZr9NMK3SYOVHfHX9pSDPLrpn3DjSlB7KjnO0iXuUUz4Z9QqA8Axnm6RUHmpxKvCv25gKCq1cty5DS+dJHLjp2pm4fvgpgQPuwKfBHOZ4gLfnYZbQdH8YZVicoPgHTfq4K5PCjJLbCDO8UAYRn3riUi1tbsV4d5UZvbNHJtqHEA==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2021-03-30T15:41:00Z</dcterms:created>
  <dc:creator>Copyright © NSALAB 2021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0x01010060B69699A13D0B4CA63681947F1FC185</vt:lpwstr>
  </property>
</Properties>
</file>